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</w:t>
                            </w:r>
                            <w:r w:rsidR="00EB151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199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</w:t>
                      </w:r>
                      <w:r w:rsidR="00EB151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199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BE57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BE57B9">
              <w:rPr>
                <w:szCs w:val="22"/>
              </w:rPr>
              <w:t>10</w:t>
            </w:r>
            <w:r w:rsidRPr="00EA0B69">
              <w:rPr>
                <w:szCs w:val="22"/>
              </w:rPr>
              <w:t>» декабря 2015г.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t>Сопровождение справочно-правовой системы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t>880.15.00199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неэлектронная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rPr>
                <w:color w:val="000000"/>
              </w:rPr>
              <w:t xml:space="preserve">2 042 137,80 </w:t>
            </w:r>
            <w:r w:rsidRPr="00BB7E70">
              <w:rPr>
                <w:color w:val="000000"/>
              </w:rPr>
              <w:t>руб., без НДС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 w:rsidRPr="00B26237">
              <w:rPr>
                <w:sz w:val="24"/>
                <w:szCs w:val="24"/>
              </w:rPr>
              <w:t>01.02.2016г. – 31.01.2019г.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Pr="00EA0B69" w:rsidRDefault="003721A1" w:rsidP="00163E14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980CFF" w:rsidRPr="00980CFF" w:rsidRDefault="00980CFF" w:rsidP="006A1EE8">
      <w:pPr>
        <w:ind w:firstLine="567"/>
        <w:jc w:val="both"/>
      </w:pPr>
      <w:r w:rsidRPr="00980CFF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предложений, участниками которого являются только субъекты малого и среднего предпринимательства, </w:t>
      </w:r>
      <w:r w:rsidR="00220171" w:rsidRPr="00220171">
        <w:t>на право заключения договора на оказание услуг: «Сопровождение справочно-правовой системы»</w:t>
      </w:r>
      <w:r w:rsidRPr="00980CFF">
        <w:t xml:space="preserve"> для нужд АО «Алтайэнергосбыт».</w:t>
      </w:r>
    </w:p>
    <w:p w:rsidR="00163E14" w:rsidRPr="00BE57B9" w:rsidRDefault="00163E14" w:rsidP="00163E14">
      <w:pPr>
        <w:keepNext/>
        <w:ind w:right="140"/>
        <w:jc w:val="both"/>
        <w:outlineLvl w:val="1"/>
        <w:rPr>
          <w:b/>
          <w:caps/>
        </w:rPr>
      </w:pPr>
    </w:p>
    <w:p w:rsidR="003721A1" w:rsidRPr="00EA0B69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ВОПРОСЫ ЗАСЕДАНИЯ Закупочной КОМИССИИ: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135C5B" w:rsidRDefault="00135C5B" w:rsidP="00163E14">
      <w:pPr>
        <w:pStyle w:val="af5"/>
        <w:spacing w:after="0"/>
        <w:ind w:left="0" w:firstLine="567"/>
        <w:jc w:val="both"/>
      </w:pPr>
      <w:r>
        <w:t xml:space="preserve">К моменту начала </w:t>
      </w:r>
      <w:r w:rsidR="00980CFF">
        <w:t xml:space="preserve">процедуры вскрытия конвертов с предложениями на переторжку: </w:t>
      </w:r>
      <w:r w:rsidR="00BE57B9">
        <w:t>10</w:t>
      </w:r>
      <w:r w:rsidR="00980CFF">
        <w:t>.1</w:t>
      </w:r>
      <w:r w:rsidR="00B95655">
        <w:t>2</w:t>
      </w:r>
      <w:r w:rsidR="00980CFF">
        <w:t>.2015 14:00 (время местное)</w:t>
      </w:r>
      <w:r>
        <w:t xml:space="preserve"> не было представлено ни одного предложения с новой ценой:</w:t>
      </w: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9B5FB3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№</w:t>
            </w:r>
          </w:p>
          <w:p w:rsidR="00980CFF" w:rsidRPr="009B5FB3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B5FB3">
              <w:rPr>
                <w:b/>
                <w:sz w:val="20"/>
              </w:rPr>
              <w:t>п</w:t>
            </w:r>
            <w:proofErr w:type="gramEnd"/>
            <w:r w:rsidRPr="009B5FB3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4B4C7F" w:rsidRPr="009B5FB3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7F" w:rsidRPr="009B5FB3" w:rsidRDefault="004B4C7F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7F" w:rsidRPr="006D1D6C" w:rsidRDefault="004B4C7F" w:rsidP="00F224EA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«ЮКФ «ЮРКОМП»» 658080, г. Новоалтайск, ул. </w:t>
            </w:r>
            <w:proofErr w:type="gramStart"/>
            <w:r>
              <w:rPr>
                <w:sz w:val="20"/>
                <w:szCs w:val="20"/>
              </w:rPr>
              <w:t>Обская</w:t>
            </w:r>
            <w:proofErr w:type="gramEnd"/>
            <w:r>
              <w:rPr>
                <w:sz w:val="20"/>
                <w:szCs w:val="20"/>
              </w:rPr>
              <w:t>, д. 3 (ИНН 2208001374, КПП 220801001, ОГРН 1022200769447)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7F" w:rsidRPr="001C779A" w:rsidRDefault="004B4C7F" w:rsidP="00F224EA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1C779A">
              <w:rPr>
                <w:bCs/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C7F" w:rsidRPr="006D1D6C" w:rsidRDefault="004B4C7F" w:rsidP="004B4C7F">
            <w:pPr>
              <w:pStyle w:val="af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2 039 400,00 </w:t>
            </w:r>
            <w:r w:rsidRPr="006D1D6C">
              <w:rPr>
                <w:bCs/>
                <w:sz w:val="20"/>
                <w:szCs w:val="20"/>
              </w:rPr>
              <w:t>руб. без НДС</w:t>
            </w:r>
          </w:p>
        </w:tc>
      </w:tr>
      <w:tr w:rsidR="004B4C7F" w:rsidRPr="009B5FB3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7F" w:rsidRPr="009B5FB3" w:rsidRDefault="004B4C7F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7F" w:rsidRPr="006D1D6C" w:rsidRDefault="004B4C7F" w:rsidP="00F224EA">
            <w:pPr>
              <w:pStyle w:val="af9"/>
              <w:rPr>
                <w:sz w:val="20"/>
                <w:szCs w:val="20"/>
              </w:rPr>
            </w:pPr>
            <w:r w:rsidRPr="006D1D6C">
              <w:rPr>
                <w:sz w:val="20"/>
                <w:szCs w:val="20"/>
              </w:rPr>
              <w:t>ООО «Компания ЛАД-ДВА»,</w:t>
            </w:r>
            <w:r>
              <w:rPr>
                <w:sz w:val="20"/>
                <w:szCs w:val="20"/>
              </w:rPr>
              <w:t xml:space="preserve"> 650060, г. Кемерово, бульвар Строителей, 32, строение 3 (ИНН 4206002915, КПП 420501001, ОГРН 1034205018110)</w:t>
            </w:r>
            <w:r w:rsidRPr="006D1D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4C7F" w:rsidRPr="001C779A" w:rsidRDefault="004B4C7F" w:rsidP="001C779A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1C779A">
              <w:rPr>
                <w:bCs/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C7F" w:rsidRPr="006D1D6C" w:rsidRDefault="004B4C7F" w:rsidP="004B4C7F">
            <w:pPr>
              <w:pStyle w:val="af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2 041 632,</w:t>
            </w:r>
            <w:r w:rsidRPr="006D1D6C">
              <w:rPr>
                <w:bCs/>
                <w:sz w:val="20"/>
                <w:szCs w:val="20"/>
              </w:rPr>
              <w:t>00 руб. без НДС</w:t>
            </w:r>
          </w:p>
        </w:tc>
      </w:tr>
    </w:tbl>
    <w:p w:rsidR="003721A1" w:rsidRPr="00EA0B69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EA0B69">
        <w:rPr>
          <w:b/>
          <w:caps/>
        </w:rPr>
        <w:lastRenderedPageBreak/>
        <w:t>РЕШИЛИ:</w:t>
      </w:r>
      <w:bookmarkStart w:id="0" w:name="_GoBack"/>
      <w:bookmarkEnd w:id="0"/>
    </w:p>
    <w:p w:rsidR="00980CFF" w:rsidRPr="002017DB" w:rsidRDefault="00980CFF" w:rsidP="00163E14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30491E">
        <w:t xml:space="preserve">Утвердить протокол заседания </w:t>
      </w:r>
      <w:r>
        <w:t>закупочной</w:t>
      </w:r>
      <w:r w:rsidRPr="0030491E">
        <w:t xml:space="preserve"> комиссии </w:t>
      </w:r>
      <w:r w:rsidRPr="002017DB">
        <w:t>по проведению процедуры заочной переторжки.</w:t>
      </w:r>
    </w:p>
    <w:p w:rsidR="00980CFF" w:rsidRPr="00980CFF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EA0B69" w:rsidRDefault="003721A1" w:rsidP="00163E14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3721A1" w:rsidRPr="00EA0B69" w:rsidRDefault="003721A1" w:rsidP="00163E14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</w:t>
      </w:r>
      <w:r w:rsidR="00163E14" w:rsidRPr="00BE57B9">
        <w:rPr>
          <w:u w:val="single"/>
        </w:rPr>
        <w:t xml:space="preserve"> 2</w:t>
      </w:r>
      <w:r w:rsidRPr="00EA0B69">
        <w:rPr>
          <w:u w:val="single"/>
        </w:rPr>
        <w:t xml:space="preserve">   </w:t>
      </w:r>
      <w:r w:rsidRPr="00EA0B69">
        <w:t>членов закупочной комиссии.</w:t>
      </w:r>
    </w:p>
    <w:p w:rsidR="003721A1" w:rsidRPr="00EA0B69" w:rsidRDefault="003721A1" w:rsidP="00163E14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3721A1" w:rsidRPr="00BE57B9" w:rsidRDefault="003721A1" w:rsidP="00163E14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sectPr w:rsidR="003721A1" w:rsidRPr="00BE57B9" w:rsidSect="003B1304">
      <w:footerReference w:type="default" r:id="rId10"/>
      <w:pgSz w:w="11906" w:h="16838"/>
      <w:pgMar w:top="851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94290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29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4570B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F134-6B22-4CB4-973F-C06C6EB8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235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129</cp:revision>
  <cp:lastPrinted>2015-12-10T08:51:00Z</cp:lastPrinted>
  <dcterms:created xsi:type="dcterms:W3CDTF">2014-12-01T08:11:00Z</dcterms:created>
  <dcterms:modified xsi:type="dcterms:W3CDTF">2015-12-10T09:52:00Z</dcterms:modified>
</cp:coreProperties>
</file>