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5B" w:rsidRDefault="00F2465B" w:rsidP="00F2465B">
      <w:pPr>
        <w:spacing w:before="240"/>
        <w:jc w:val="both"/>
        <w:rPr>
          <w:b/>
        </w:rPr>
      </w:pPr>
      <w:bookmarkStart w:id="0" w:name="_GoBack"/>
      <w:bookmarkEnd w:id="0"/>
      <w:r w:rsidRPr="00F2465B">
        <w:rPr>
          <w:b/>
        </w:rPr>
        <w:t>РАСЧЁТНЫЕ СПОСОБЫ ОПРЕДЕЛЕНИЯ ОБЪЁМА ПОТРЕБЛЁННОЙ ЭЛЕКТРИЧЕСКОЙ ЭНЕРГИИ (МОЩНОСТИ)</w:t>
      </w:r>
    </w:p>
    <w:p w:rsidR="00F2465B" w:rsidRDefault="00F2465B" w:rsidP="00F2465B">
      <w:pPr>
        <w:spacing w:before="240"/>
        <w:jc w:val="both"/>
        <w:rPr>
          <w:b/>
        </w:rPr>
      </w:pPr>
      <w:r w:rsidRPr="006917D4">
        <w:rPr>
          <w:b/>
        </w:rPr>
        <w:t>Для физических лиц</w:t>
      </w:r>
    </w:p>
    <w:p w:rsidR="00503A02" w:rsidRDefault="009426AF" w:rsidP="00503A02">
      <w:pPr>
        <w:spacing w:before="240"/>
        <w:jc w:val="both"/>
      </w:pPr>
      <w:r>
        <w:t xml:space="preserve">Согласно п. 42 Правил предоставления коммунальных услуг </w:t>
      </w:r>
      <w:r w:rsidR="00503A02">
        <w:t xml:space="preserve">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r>
        <w:t>формулой:</w:t>
      </w:r>
    </w:p>
    <w:p w:rsidR="00503A02" w:rsidRDefault="00503A02" w:rsidP="00503A02">
      <w:pPr>
        <w:spacing w:before="240"/>
        <w:jc w:val="both"/>
      </w:pPr>
    </w:p>
    <w:p w:rsidR="00503A02" w:rsidRDefault="00503A02" w:rsidP="00503A02">
      <w:pPr>
        <w:autoSpaceDE w:val="0"/>
        <w:autoSpaceDN w:val="0"/>
        <w:adjustRightInd w:val="0"/>
        <w:jc w:val="center"/>
      </w:pPr>
      <w:r>
        <w:rPr>
          <w:noProof/>
          <w:position w:val="-9"/>
          <w:lang w:eastAsia="ru-RU"/>
        </w:rPr>
        <w:drawing>
          <wp:inline distT="0" distB="0" distL="0" distR="0">
            <wp:extent cx="810895" cy="2413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895" cy="241300"/>
                    </a:xfrm>
                    <a:prstGeom prst="rect">
                      <a:avLst/>
                    </a:prstGeom>
                    <a:noFill/>
                    <a:ln>
                      <a:noFill/>
                    </a:ln>
                  </pic:spPr>
                </pic:pic>
              </a:graphicData>
            </a:graphic>
          </wp:inline>
        </w:drawing>
      </w:r>
      <w:r>
        <w:t>,</w:t>
      </w:r>
    </w:p>
    <w:p w:rsidR="00503A02" w:rsidRDefault="00503A02" w:rsidP="00503A02">
      <w:pPr>
        <w:autoSpaceDE w:val="0"/>
        <w:autoSpaceDN w:val="0"/>
        <w:adjustRightInd w:val="0"/>
        <w:jc w:val="both"/>
        <w:outlineLvl w:val="0"/>
      </w:pPr>
    </w:p>
    <w:p w:rsidR="00503A02" w:rsidRDefault="00503A02" w:rsidP="00503A02">
      <w:pPr>
        <w:autoSpaceDE w:val="0"/>
        <w:autoSpaceDN w:val="0"/>
        <w:adjustRightInd w:val="0"/>
        <w:ind w:firstLine="540"/>
        <w:jc w:val="both"/>
      </w:pPr>
      <w:r>
        <w:t>где:</w:t>
      </w:r>
    </w:p>
    <w:p w:rsidR="00503A02" w:rsidRDefault="00503A02" w:rsidP="00503A02">
      <w:pPr>
        <w:autoSpaceDE w:val="0"/>
        <w:autoSpaceDN w:val="0"/>
        <w:adjustRightInd w:val="0"/>
        <w:spacing w:before="200"/>
        <w:ind w:firstLine="540"/>
        <w:jc w:val="both"/>
      </w:pPr>
      <w:r>
        <w:rPr>
          <w:noProof/>
          <w:position w:val="-9"/>
          <w:lang w:eastAsia="ru-RU"/>
        </w:rPr>
        <w:drawing>
          <wp:inline distT="0" distB="0" distL="0" distR="0">
            <wp:extent cx="224155" cy="241300"/>
            <wp:effectExtent l="0" t="0" r="444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155" cy="24130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w:t>
      </w:r>
    </w:p>
    <w:p w:rsidR="00503A02" w:rsidRDefault="00503A02" w:rsidP="00503A02">
      <w:pPr>
        <w:autoSpaceDE w:val="0"/>
        <w:autoSpaceDN w:val="0"/>
        <w:adjustRightInd w:val="0"/>
        <w:spacing w:before="200"/>
        <w:ind w:firstLine="540"/>
        <w:jc w:val="both"/>
      </w:pPr>
      <w:proofErr w:type="spellStart"/>
      <w:r>
        <w:t>Т</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9426AF" w:rsidRDefault="00503A02" w:rsidP="00503A02">
      <w:pPr>
        <w:spacing w:before="240"/>
        <w:jc w:val="both"/>
      </w:pPr>
      <w:r>
        <w:t>При отсутствии индивидуального или общего (квартирного) прибора учета электрической энергии и отсутствии технической возможности установки такого прибора учета размер платы за коммунальную услугу</w:t>
      </w:r>
      <w:r w:rsidR="009426AF">
        <w:t>,</w:t>
      </w:r>
      <w:r>
        <w:t xml:space="preserve"> предоставленную потребителю в жилом помещении, определяется в соответствии с формулами</w:t>
      </w:r>
      <w:r w:rsidR="009426AF">
        <w:t>:</w:t>
      </w:r>
    </w:p>
    <w:p w:rsidR="009426AF" w:rsidRPr="009426AF" w:rsidRDefault="009426AF" w:rsidP="009426AF">
      <w:pPr>
        <w:autoSpaceDE w:val="0"/>
        <w:autoSpaceDN w:val="0"/>
        <w:adjustRightInd w:val="0"/>
        <w:ind w:firstLine="540"/>
        <w:jc w:val="both"/>
      </w:pPr>
      <w:r w:rsidRPr="009426AF">
        <w:t>а) в i-м жилом помещении, не оборудованном индивидуальным или общим (квартирным) прибором учета:</w:t>
      </w:r>
    </w:p>
    <w:p w:rsidR="009426AF" w:rsidRPr="009426AF" w:rsidRDefault="009426AF" w:rsidP="009426AF">
      <w:pPr>
        <w:autoSpaceDE w:val="0"/>
        <w:autoSpaceDN w:val="0"/>
        <w:adjustRightInd w:val="0"/>
        <w:jc w:val="both"/>
        <w:outlineLvl w:val="0"/>
      </w:pPr>
    </w:p>
    <w:p w:rsidR="009426AF" w:rsidRPr="009426AF" w:rsidRDefault="009426AF" w:rsidP="009426AF">
      <w:pPr>
        <w:autoSpaceDE w:val="0"/>
        <w:autoSpaceDN w:val="0"/>
        <w:adjustRightInd w:val="0"/>
        <w:jc w:val="center"/>
        <w:rPr>
          <w:lang w:val="en-US"/>
        </w:rPr>
      </w:pPr>
      <w:r w:rsidRPr="009426AF">
        <w:rPr>
          <w:lang w:val="en-US"/>
        </w:rPr>
        <w:t>P</w:t>
      </w:r>
      <w:r w:rsidRPr="009426AF">
        <w:rPr>
          <w:vertAlign w:val="subscript"/>
          <w:lang w:val="en-US"/>
        </w:rPr>
        <w:t>i</w:t>
      </w:r>
      <w:r w:rsidRPr="009426AF">
        <w:rPr>
          <w:lang w:val="en-US"/>
        </w:rPr>
        <w:t xml:space="preserve"> = </w:t>
      </w:r>
      <w:proofErr w:type="spellStart"/>
      <w:r w:rsidRPr="009426AF">
        <w:rPr>
          <w:lang w:val="en-US"/>
        </w:rPr>
        <w:t>n</w:t>
      </w:r>
      <w:r w:rsidRPr="009426AF">
        <w:rPr>
          <w:vertAlign w:val="subscript"/>
          <w:lang w:val="en-US"/>
        </w:rPr>
        <w:t>i</w:t>
      </w:r>
      <w:proofErr w:type="spellEnd"/>
      <w:r w:rsidRPr="009426AF">
        <w:rPr>
          <w:lang w:val="en-US"/>
        </w:rPr>
        <w:t xml:space="preserve"> x </w:t>
      </w:r>
      <w:proofErr w:type="spellStart"/>
      <w:r w:rsidRPr="009426AF">
        <w:rPr>
          <w:lang w:val="en-US"/>
        </w:rPr>
        <w:t>N</w:t>
      </w:r>
      <w:r w:rsidRPr="009426AF">
        <w:rPr>
          <w:vertAlign w:val="subscript"/>
          <w:lang w:val="en-US"/>
        </w:rPr>
        <w:t>j</w:t>
      </w:r>
      <w:proofErr w:type="spellEnd"/>
      <w:r w:rsidRPr="009426AF">
        <w:rPr>
          <w:lang w:val="en-US"/>
        </w:rPr>
        <w:t xml:space="preserve"> x T</w:t>
      </w:r>
      <w:proofErr w:type="spellStart"/>
      <w:r w:rsidRPr="009426AF">
        <w:rPr>
          <w:vertAlign w:val="superscript"/>
        </w:rPr>
        <w:t>кр</w:t>
      </w:r>
      <w:proofErr w:type="spellEnd"/>
      <w:r w:rsidRPr="009426AF">
        <w:rPr>
          <w:lang w:val="en-US"/>
        </w:rPr>
        <w:t>,</w:t>
      </w:r>
    </w:p>
    <w:p w:rsidR="009426AF" w:rsidRPr="009426AF" w:rsidRDefault="009426AF" w:rsidP="009426AF">
      <w:pPr>
        <w:autoSpaceDE w:val="0"/>
        <w:autoSpaceDN w:val="0"/>
        <w:adjustRightInd w:val="0"/>
        <w:jc w:val="both"/>
        <w:rPr>
          <w:lang w:val="en-US"/>
        </w:rPr>
      </w:pPr>
    </w:p>
    <w:p w:rsidR="009426AF" w:rsidRPr="009426AF" w:rsidRDefault="009426AF" w:rsidP="009426AF">
      <w:pPr>
        <w:autoSpaceDE w:val="0"/>
        <w:autoSpaceDN w:val="0"/>
        <w:adjustRightInd w:val="0"/>
        <w:ind w:firstLine="540"/>
        <w:jc w:val="both"/>
      </w:pPr>
      <w:r w:rsidRPr="009426AF">
        <w:t>где:</w:t>
      </w:r>
    </w:p>
    <w:p w:rsidR="009426AF" w:rsidRPr="009426AF" w:rsidRDefault="009426AF" w:rsidP="009426AF">
      <w:pPr>
        <w:autoSpaceDE w:val="0"/>
        <w:autoSpaceDN w:val="0"/>
        <w:adjustRightInd w:val="0"/>
        <w:spacing w:before="200"/>
        <w:ind w:firstLine="540"/>
        <w:jc w:val="both"/>
      </w:pPr>
      <w:proofErr w:type="spellStart"/>
      <w:r w:rsidRPr="009426AF">
        <w:t>n</w:t>
      </w:r>
      <w:r w:rsidRPr="009426AF">
        <w:rPr>
          <w:vertAlign w:val="subscript"/>
        </w:rPr>
        <w:t>i</w:t>
      </w:r>
      <w:proofErr w:type="spellEnd"/>
      <w:r w:rsidRPr="009426AF">
        <w:t xml:space="preserve"> - количество граждан, постоянно и временно проживающих в i-м жилом помещении;</w:t>
      </w:r>
    </w:p>
    <w:p w:rsidR="009426AF" w:rsidRPr="009426AF" w:rsidRDefault="009426AF" w:rsidP="009426AF">
      <w:pPr>
        <w:autoSpaceDE w:val="0"/>
        <w:autoSpaceDN w:val="0"/>
        <w:adjustRightInd w:val="0"/>
        <w:spacing w:before="200"/>
        <w:ind w:firstLine="540"/>
        <w:jc w:val="both"/>
      </w:pPr>
      <w:proofErr w:type="spellStart"/>
      <w:r w:rsidRPr="009426AF">
        <w:t>N</w:t>
      </w:r>
      <w:r w:rsidRPr="009426AF">
        <w:rPr>
          <w:vertAlign w:val="subscript"/>
        </w:rPr>
        <w:t>j</w:t>
      </w:r>
      <w:proofErr w:type="spellEnd"/>
      <w:r w:rsidRPr="009426AF">
        <w:t xml:space="preserve"> - норматив потребления j-й коммунальной услуги;</w:t>
      </w:r>
    </w:p>
    <w:p w:rsidR="009426AF" w:rsidRPr="009426AF" w:rsidRDefault="009426AF" w:rsidP="009426AF">
      <w:pPr>
        <w:autoSpaceDE w:val="0"/>
        <w:autoSpaceDN w:val="0"/>
        <w:adjustRightInd w:val="0"/>
        <w:spacing w:before="200"/>
        <w:ind w:firstLine="540"/>
        <w:jc w:val="both"/>
      </w:pPr>
      <w:proofErr w:type="spellStart"/>
      <w:r w:rsidRPr="009426AF">
        <w:t>T</w:t>
      </w:r>
      <w:r w:rsidRPr="009426AF">
        <w:rPr>
          <w:vertAlign w:val="superscript"/>
        </w:rPr>
        <w:t>кр</w:t>
      </w:r>
      <w:proofErr w:type="spellEnd"/>
      <w:r w:rsidRPr="009426AF">
        <w:t xml:space="preserve"> - тариф (цена) на коммунальный ресурс, установленный в соответствии с законодательством Российской Федерации;</w:t>
      </w:r>
    </w:p>
    <w:p w:rsidR="009426AF" w:rsidRPr="009426AF" w:rsidRDefault="009426AF" w:rsidP="009426AF">
      <w:pPr>
        <w:autoSpaceDE w:val="0"/>
        <w:autoSpaceDN w:val="0"/>
        <w:adjustRightInd w:val="0"/>
        <w:spacing w:before="200"/>
        <w:ind w:firstLine="540"/>
        <w:jc w:val="both"/>
      </w:pPr>
      <w:proofErr w:type="gramStart"/>
      <w:r w:rsidRPr="009426AF">
        <w:t>а(</w:t>
      </w:r>
      <w:proofErr w:type="gramEnd"/>
      <w:r w:rsidRPr="009426AF">
        <w:t>1)) в i-м жилом помещении, не оборудованном индивидуальным или общим (квартирным) прибором учета при наличии технической возможности установки таких приборов учета:</w:t>
      </w:r>
    </w:p>
    <w:p w:rsidR="009426AF" w:rsidRPr="009426AF" w:rsidRDefault="009426AF" w:rsidP="009426AF">
      <w:pPr>
        <w:autoSpaceDE w:val="0"/>
        <w:autoSpaceDN w:val="0"/>
        <w:adjustRightInd w:val="0"/>
        <w:jc w:val="both"/>
      </w:pPr>
    </w:p>
    <w:p w:rsidR="009426AF" w:rsidRPr="009426AF" w:rsidRDefault="009426AF" w:rsidP="009426AF">
      <w:pPr>
        <w:autoSpaceDE w:val="0"/>
        <w:autoSpaceDN w:val="0"/>
        <w:adjustRightInd w:val="0"/>
        <w:jc w:val="center"/>
      </w:pPr>
      <w:proofErr w:type="spellStart"/>
      <w:r w:rsidRPr="009426AF">
        <w:t>P</w:t>
      </w:r>
      <w:r w:rsidRPr="009426AF">
        <w:rPr>
          <w:vertAlign w:val="subscript"/>
        </w:rPr>
        <w:t>i</w:t>
      </w:r>
      <w:proofErr w:type="spellEnd"/>
      <w:r w:rsidRPr="009426AF">
        <w:t xml:space="preserve"> = </w:t>
      </w:r>
      <w:proofErr w:type="spellStart"/>
      <w:r w:rsidRPr="009426AF">
        <w:t>n</w:t>
      </w:r>
      <w:r w:rsidRPr="009426AF">
        <w:rPr>
          <w:vertAlign w:val="subscript"/>
        </w:rPr>
        <w:t>i</w:t>
      </w:r>
      <w:proofErr w:type="spellEnd"/>
      <w:r w:rsidRPr="009426AF">
        <w:t xml:space="preserve"> x </w:t>
      </w:r>
      <w:proofErr w:type="spellStart"/>
      <w:r w:rsidRPr="009426AF">
        <w:t>N</w:t>
      </w:r>
      <w:r w:rsidRPr="009426AF">
        <w:rPr>
          <w:vertAlign w:val="subscript"/>
        </w:rPr>
        <w:t>j</w:t>
      </w:r>
      <w:proofErr w:type="spellEnd"/>
      <w:r w:rsidRPr="009426AF">
        <w:t xml:space="preserve"> x </w:t>
      </w:r>
      <w:proofErr w:type="spellStart"/>
      <w:r w:rsidRPr="009426AF">
        <w:t>K</w:t>
      </w:r>
      <w:r w:rsidRPr="009426AF">
        <w:rPr>
          <w:vertAlign w:val="subscript"/>
        </w:rPr>
        <w:t>пов</w:t>
      </w:r>
      <w:proofErr w:type="spellEnd"/>
      <w:r w:rsidRPr="009426AF">
        <w:t xml:space="preserve"> x </w:t>
      </w:r>
      <w:proofErr w:type="spellStart"/>
      <w:r w:rsidRPr="009426AF">
        <w:t>T</w:t>
      </w:r>
      <w:r w:rsidRPr="009426AF">
        <w:rPr>
          <w:vertAlign w:val="superscript"/>
        </w:rPr>
        <w:t>кр</w:t>
      </w:r>
      <w:proofErr w:type="spellEnd"/>
      <w:r w:rsidRPr="009426AF">
        <w:t>,</w:t>
      </w:r>
    </w:p>
    <w:p w:rsidR="009426AF" w:rsidRPr="009426AF" w:rsidRDefault="009426AF" w:rsidP="009426AF">
      <w:pPr>
        <w:autoSpaceDE w:val="0"/>
        <w:autoSpaceDN w:val="0"/>
        <w:adjustRightInd w:val="0"/>
        <w:jc w:val="both"/>
      </w:pPr>
    </w:p>
    <w:p w:rsidR="009426AF" w:rsidRPr="009426AF" w:rsidRDefault="009426AF" w:rsidP="009426AF">
      <w:pPr>
        <w:autoSpaceDE w:val="0"/>
        <w:autoSpaceDN w:val="0"/>
        <w:adjustRightInd w:val="0"/>
        <w:ind w:firstLine="540"/>
        <w:jc w:val="both"/>
      </w:pPr>
      <w:r w:rsidRPr="009426AF">
        <w:t>где:</w:t>
      </w:r>
    </w:p>
    <w:p w:rsidR="009426AF" w:rsidRPr="009426AF" w:rsidRDefault="009426AF" w:rsidP="009426AF">
      <w:pPr>
        <w:autoSpaceDE w:val="0"/>
        <w:autoSpaceDN w:val="0"/>
        <w:adjustRightInd w:val="0"/>
        <w:spacing w:before="200"/>
        <w:ind w:firstLine="540"/>
        <w:jc w:val="both"/>
      </w:pPr>
      <w:proofErr w:type="spellStart"/>
      <w:r w:rsidRPr="009426AF">
        <w:t>n</w:t>
      </w:r>
      <w:r w:rsidRPr="009426AF">
        <w:rPr>
          <w:vertAlign w:val="subscript"/>
        </w:rPr>
        <w:t>i</w:t>
      </w:r>
      <w:proofErr w:type="spellEnd"/>
      <w:r w:rsidRPr="009426AF">
        <w:t xml:space="preserve"> - количество граждан, постоянно и временно проживающих в i-м жилом помещении;</w:t>
      </w:r>
    </w:p>
    <w:p w:rsidR="009426AF" w:rsidRPr="009426AF" w:rsidRDefault="009426AF" w:rsidP="009426AF">
      <w:pPr>
        <w:autoSpaceDE w:val="0"/>
        <w:autoSpaceDN w:val="0"/>
        <w:adjustRightInd w:val="0"/>
        <w:spacing w:before="200"/>
        <w:ind w:firstLine="540"/>
        <w:jc w:val="both"/>
      </w:pPr>
      <w:proofErr w:type="spellStart"/>
      <w:r w:rsidRPr="009426AF">
        <w:t>N</w:t>
      </w:r>
      <w:r w:rsidRPr="009426AF">
        <w:rPr>
          <w:vertAlign w:val="subscript"/>
        </w:rPr>
        <w:t>j</w:t>
      </w:r>
      <w:proofErr w:type="spellEnd"/>
      <w:r w:rsidRPr="009426AF">
        <w:t xml:space="preserve"> - норматив потребления j-й коммунальной услуги;</w:t>
      </w:r>
    </w:p>
    <w:p w:rsidR="009426AF" w:rsidRPr="009426AF" w:rsidRDefault="009426AF" w:rsidP="009426AF">
      <w:pPr>
        <w:autoSpaceDE w:val="0"/>
        <w:autoSpaceDN w:val="0"/>
        <w:adjustRightInd w:val="0"/>
        <w:spacing w:before="200"/>
        <w:ind w:firstLine="540"/>
        <w:jc w:val="both"/>
      </w:pPr>
      <w:proofErr w:type="spellStart"/>
      <w:r w:rsidRPr="009426AF">
        <w:t>K</w:t>
      </w:r>
      <w:r w:rsidRPr="009426AF">
        <w:rPr>
          <w:vertAlign w:val="subscript"/>
        </w:rPr>
        <w:t>пов</w:t>
      </w:r>
      <w:proofErr w:type="spellEnd"/>
      <w:r w:rsidRPr="009426AF">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426AF" w:rsidRPr="009426AF" w:rsidRDefault="009426AF" w:rsidP="009426AF">
      <w:pPr>
        <w:autoSpaceDE w:val="0"/>
        <w:autoSpaceDN w:val="0"/>
        <w:adjustRightInd w:val="0"/>
        <w:spacing w:before="200"/>
        <w:ind w:firstLine="540"/>
        <w:jc w:val="both"/>
      </w:pPr>
      <w:proofErr w:type="spellStart"/>
      <w:r w:rsidRPr="009426AF">
        <w:t>T</w:t>
      </w:r>
      <w:r w:rsidRPr="009426AF">
        <w:rPr>
          <w:vertAlign w:val="superscript"/>
        </w:rPr>
        <w:t>кр</w:t>
      </w:r>
      <w:proofErr w:type="spellEnd"/>
      <w:r w:rsidRPr="009426AF">
        <w:t xml:space="preserve"> - тариф (цена) на коммунальный ресурс, установленный в соответствии с законодательством Российской Федерации;</w:t>
      </w:r>
    </w:p>
    <w:p w:rsidR="009426AF" w:rsidRPr="009426AF" w:rsidRDefault="009426AF" w:rsidP="009426AF">
      <w:pPr>
        <w:autoSpaceDE w:val="0"/>
        <w:autoSpaceDN w:val="0"/>
        <w:adjustRightInd w:val="0"/>
        <w:spacing w:before="200"/>
        <w:ind w:firstLine="540"/>
        <w:jc w:val="both"/>
      </w:pPr>
      <w:r w:rsidRPr="009426AF">
        <w:lastRenderedPageBreak/>
        <w:t xml:space="preserve">б) в i-м нежилом помещении, не оборудованном </w:t>
      </w:r>
      <w:proofErr w:type="gramStart"/>
      <w:r w:rsidRPr="009426AF">
        <w:t>индивидуальным прибором учета</w:t>
      </w:r>
      <w:proofErr w:type="gramEnd"/>
      <w:r w:rsidRPr="009426AF">
        <w:t xml:space="preserve"> определяется как произведение расчетного объема электрической энергии и тарифа с, установленного в соответствии с законодательством Российской Федерации.</w:t>
      </w:r>
    </w:p>
    <w:p w:rsidR="00EE187E" w:rsidRDefault="00EE187E" w:rsidP="00EE187E">
      <w:pPr>
        <w:spacing w:before="240"/>
        <w:jc w:val="both"/>
      </w:pPr>
      <w:r>
        <w:t>Согласно п. 59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следующих случаях и за указанные расчетные периоды:</w:t>
      </w:r>
    </w:p>
    <w:p w:rsidR="00EE187E" w:rsidRDefault="00EE187E" w:rsidP="00EE187E">
      <w:pPr>
        <w:spacing w:before="240"/>
        <w:jc w:val="both"/>
      </w:pPr>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r w:rsidR="00CB4AC5">
        <w:t>п.</w:t>
      </w:r>
      <w:r>
        <w:t xml:space="preserve"> 80(1) </w:t>
      </w:r>
      <w:r w:rsidR="00CB4AC5">
        <w:t>Правил предоставления коммунальных услуг</w:t>
      </w:r>
      <w:r>
        <w:t xml:space="preserve"> случаях);</w:t>
      </w:r>
    </w:p>
    <w:p w:rsidR="00EE187E" w:rsidRDefault="00EE187E" w:rsidP="00EE187E">
      <w:pPr>
        <w:spacing w:before="240"/>
        <w:jc w:val="both"/>
      </w:pPr>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r w:rsidR="00CB4AC5">
        <w:t>п.</w:t>
      </w:r>
      <w:r>
        <w:t xml:space="preserve"> 80(1) </w:t>
      </w:r>
      <w:r w:rsidR="00CB4AC5">
        <w:t xml:space="preserve">Правил предоставления коммунальных услуг </w:t>
      </w:r>
      <w:r>
        <w:t>случаях);</w:t>
      </w:r>
    </w:p>
    <w:p w:rsidR="00EE187E" w:rsidRDefault="00EE187E" w:rsidP="00EE187E">
      <w:pPr>
        <w:spacing w:before="240"/>
        <w:jc w:val="both"/>
      </w:pPr>
      <w:r>
        <w:t xml:space="preserve">в) в случае, указанном в </w:t>
      </w:r>
      <w:proofErr w:type="spellStart"/>
      <w:r w:rsidR="00CB4AC5">
        <w:t>пп</w:t>
      </w:r>
      <w:proofErr w:type="spellEnd"/>
      <w:r w:rsidR="00CB4AC5">
        <w:t>.</w:t>
      </w:r>
      <w:r>
        <w:t xml:space="preserve"> "г" </w:t>
      </w:r>
      <w:r w:rsidR="00CB4AC5">
        <w:t>п.</w:t>
      </w:r>
      <w:r>
        <w:t xml:space="preserve"> 85 Правил</w:t>
      </w:r>
      <w:r w:rsidR="00CB4AC5" w:rsidRPr="00CB4AC5">
        <w:t xml:space="preserve"> </w:t>
      </w:r>
      <w:r w:rsidR="00CB4AC5">
        <w:t>предоставления коммунальных услуг</w:t>
      </w:r>
      <w:r>
        <w:t>, - начиная с даты, когда исполнителем был составлен акт об отказе в допуске к прибору учета, распределителям, до даты проведения проверки, но не более 3 расчетных периодов подряд;</w:t>
      </w:r>
    </w:p>
    <w:p w:rsidR="00EE187E" w:rsidRDefault="00EE187E" w:rsidP="00EE187E">
      <w:pPr>
        <w:spacing w:before="240"/>
        <w:jc w:val="both"/>
      </w:pPr>
      <w:r>
        <w:t xml:space="preserve">г) в отношении коммунальной услуги по электроснабжению,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пункта 80(1) </w:t>
      </w:r>
      <w:r w:rsidR="00CB4AC5">
        <w:t>Правила предоставления коммунальных услуг</w:t>
      </w:r>
      <w:r>
        <w:t xml:space="preserve">) либо в случае непредставления показаний такого прибора учета за расчетный период в сроки, установленные </w:t>
      </w:r>
      <w:r w:rsidR="00CB4AC5">
        <w:t>Правилами предоставления коммунальных услуг</w:t>
      </w:r>
      <w:r>
        <w:t xml:space="preserve">,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пункта 80(1) </w:t>
      </w:r>
      <w:r w:rsidR="00CB4AC5">
        <w:t>Правил предоставления коммунальных услуг</w:t>
      </w:r>
      <w:r>
        <w:t>)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EE187E" w:rsidRDefault="00CB4AC5" w:rsidP="00EE187E">
      <w:pPr>
        <w:spacing w:before="240"/>
        <w:jc w:val="both"/>
      </w:pPr>
      <w:r>
        <w:t xml:space="preserve">Согласно п. </w:t>
      </w:r>
      <w:r w:rsidR="00EE187E">
        <w:t>59(1)</w:t>
      </w:r>
      <w:r>
        <w:t xml:space="preserve"> Правил предоставления коммунальных услуг</w:t>
      </w:r>
      <w:r w:rsidR="00EE187E">
        <w:t xml:space="preserve"> </w:t>
      </w:r>
      <w:r>
        <w:t>п</w:t>
      </w:r>
      <w:r w:rsidR="00EE187E">
        <w:t xml:space="preserve">лата за коммунальную услугу, предоставленную на общедомовые нужды за расчетный период, с учетом положений </w:t>
      </w:r>
      <w:r w:rsidR="00360643">
        <w:t>п.</w:t>
      </w:r>
      <w:r w:rsidR="00EE187E">
        <w:t xml:space="preserve"> 44 Правил</w:t>
      </w:r>
      <w:r w:rsidR="00503A02" w:rsidRPr="00503A02">
        <w:t xml:space="preserve"> </w:t>
      </w:r>
      <w:r w:rsidR="00503A02">
        <w:t>предоставления коммунальных услуг</w:t>
      </w:r>
      <w:r w:rsidR="00EE187E">
        <w:t xml:space="preserve">, а также плата за коммунальную услугу отопления определяются исходя </w:t>
      </w:r>
      <w:r w:rsidR="00EE187E">
        <w:lastRenderedPageBreak/>
        <w:t>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E187E" w:rsidRDefault="00CB4AC5" w:rsidP="00EE187E">
      <w:pPr>
        <w:spacing w:before="240"/>
        <w:jc w:val="both"/>
      </w:pPr>
      <w:r>
        <w:t>Согласно п. 59(2) Правил предоставления коммунальных услуг е</w:t>
      </w:r>
      <w:r w:rsidR="00EE187E">
        <w:t xml:space="preserve">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r w:rsidR="00360643">
        <w:t>п.</w:t>
      </w:r>
      <w:r w:rsidR="00EE187E">
        <w:t xml:space="preserve"> 59 Правил</w:t>
      </w:r>
      <w:r w:rsidR="00360643" w:rsidRPr="00360643">
        <w:t xml:space="preserve"> </w:t>
      </w:r>
      <w:r w:rsidR="00360643">
        <w:t>предоставления коммунальных услуг</w:t>
      </w:r>
      <w:r w:rsidR="00EE187E">
        <w:t>,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EE187E" w:rsidRDefault="00EE187E" w:rsidP="00EE187E">
      <w:pPr>
        <w:spacing w:before="240"/>
        <w:jc w:val="both"/>
      </w:pPr>
      <w:r>
        <w:t xml:space="preserve">Если период работы коллективного (общедомового) прибора учета составил менее 3 месяцев в случаях, указанных в </w:t>
      </w:r>
      <w:r w:rsidR="00360643">
        <w:t>п.</w:t>
      </w:r>
      <w:r>
        <w:t xml:space="preserve"> 59(1) Правил</w:t>
      </w:r>
      <w:r w:rsidR="00360643" w:rsidRPr="00360643">
        <w:t xml:space="preserve"> </w:t>
      </w:r>
      <w:r w:rsidR="00360643">
        <w:t>предоставления коммунальных услуг</w:t>
      </w:r>
      <w:r>
        <w:t xml:space="preserve">, плата за коммунальную услугу, предоставленную на общедомовые нужды, за расчетный период с учетом положений </w:t>
      </w:r>
      <w:r w:rsidR="00360643">
        <w:t>п.</w:t>
      </w:r>
      <w:r>
        <w:t xml:space="preserve"> 44 Правил</w:t>
      </w:r>
      <w:r w:rsidR="00360643" w:rsidRPr="00360643">
        <w:t xml:space="preserve"> </w:t>
      </w:r>
      <w:r w:rsidR="00360643">
        <w:t>предоставления коммунальных услуг</w:t>
      </w:r>
      <w:r>
        <w:t xml:space="preserve"> определяется исходя из нормативов потребления соответствующих коммунальных ресурсов в целях содержания общего имущества.</w:t>
      </w:r>
    </w:p>
    <w:p w:rsidR="00EE187E" w:rsidRDefault="00CB4AC5" w:rsidP="00EE187E">
      <w:pPr>
        <w:spacing w:before="240"/>
        <w:jc w:val="both"/>
      </w:pPr>
      <w:r>
        <w:t>Согласно п. 60 Правила предоставления коммунальных услуг</w:t>
      </w:r>
      <w:r w:rsidR="00EE187E">
        <w:t xml:space="preserve"> </w:t>
      </w:r>
      <w:r>
        <w:t>п</w:t>
      </w:r>
      <w:r w:rsidR="00EE187E">
        <w:t xml:space="preserve">о истечении предельного количества расчетных периодов, указанных в </w:t>
      </w:r>
      <w:r w:rsidR="00503A02">
        <w:t>п.</w:t>
      </w:r>
      <w:r w:rsidR="00EE187E">
        <w:t xml:space="preserve"> 59 Правил</w:t>
      </w:r>
      <w:r w:rsidR="00503A02" w:rsidRPr="00503A02">
        <w:t xml:space="preserve"> </w:t>
      </w:r>
      <w:r w:rsidR="00503A02">
        <w:t>предоставления коммунальных услуг</w:t>
      </w:r>
      <w:r w:rsidR="00EE187E">
        <w:t xml:space="preserve">,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r w:rsidR="00503A02">
        <w:t>п.</w:t>
      </w:r>
      <w:r w:rsidR="00EE187E">
        <w:t xml:space="preserve"> 42 Правил</w:t>
      </w:r>
      <w:r w:rsidR="00503A02" w:rsidRPr="00503A02">
        <w:t xml:space="preserve"> </w:t>
      </w:r>
      <w:r w:rsidR="00503A02">
        <w:t>предоставления коммунальных услуг</w:t>
      </w:r>
      <w:r w:rsidR="00EE187E">
        <w:t xml:space="preserve"> в случаях, предусмотренных </w:t>
      </w:r>
      <w:proofErr w:type="spellStart"/>
      <w:r w:rsidR="00503A02">
        <w:t>пп</w:t>
      </w:r>
      <w:proofErr w:type="spellEnd"/>
      <w:r w:rsidR="00503A02">
        <w:t>.</w:t>
      </w:r>
      <w:r w:rsidR="00EE187E">
        <w:t xml:space="preserve"> </w:t>
      </w:r>
      <w:r w:rsidR="00503A02">
        <w:t>«</w:t>
      </w:r>
      <w:r w:rsidR="00EE187E">
        <w:t>а</w:t>
      </w:r>
      <w:r w:rsidR="00503A02">
        <w:t>»</w:t>
      </w:r>
      <w:r w:rsidR="00EE187E">
        <w:t xml:space="preserve"> и </w:t>
      </w:r>
      <w:r w:rsidR="00503A02">
        <w:t>«</w:t>
      </w:r>
      <w:r w:rsidR="00EE187E">
        <w:t>в</w:t>
      </w:r>
      <w:r w:rsidR="00503A02">
        <w:t>»</w:t>
      </w:r>
      <w:r w:rsidR="00EE187E">
        <w:t xml:space="preserve"> п</w:t>
      </w:r>
      <w:r w:rsidR="00503A02">
        <w:t>.</w:t>
      </w:r>
      <w:r w:rsidR="00EE187E">
        <w:t xml:space="preserve"> 59 Правил</w:t>
      </w:r>
      <w:r w:rsidR="00503A02" w:rsidRPr="00503A02">
        <w:t xml:space="preserve"> </w:t>
      </w:r>
      <w:r w:rsidR="00503A02">
        <w:t>предоставления коммунальных услуг</w:t>
      </w:r>
      <w:r w:rsidR="00EE187E">
        <w:t xml:space="preserve">,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proofErr w:type="spellStart"/>
      <w:r w:rsidR="00503A02">
        <w:t>пп</w:t>
      </w:r>
      <w:proofErr w:type="spellEnd"/>
      <w:r w:rsidR="00503A02">
        <w:t>.</w:t>
      </w:r>
      <w:r w:rsidR="00EE187E">
        <w:t xml:space="preserve"> </w:t>
      </w:r>
      <w:r w:rsidR="00503A02">
        <w:t>«</w:t>
      </w:r>
      <w:r w:rsidR="00EE187E">
        <w:t>б</w:t>
      </w:r>
      <w:r w:rsidR="00503A02">
        <w:t>»</w:t>
      </w:r>
      <w:r w:rsidR="00EE187E">
        <w:t xml:space="preserve"> п</w:t>
      </w:r>
      <w:r w:rsidR="00503A02">
        <w:t>.</w:t>
      </w:r>
      <w:r w:rsidR="00EE187E">
        <w:t xml:space="preserve"> 59 Правил</w:t>
      </w:r>
      <w:r w:rsidR="00503A02">
        <w:t xml:space="preserve"> предоставления коммунальных услуг</w:t>
      </w:r>
      <w:r w:rsidR="00EE187E">
        <w:t>, исходя из нормативов потребления коммунальных услуг.</w:t>
      </w:r>
    </w:p>
    <w:p w:rsidR="00EE187E" w:rsidRDefault="00CB4AC5" w:rsidP="00EE187E">
      <w:pPr>
        <w:spacing w:before="240"/>
        <w:jc w:val="both"/>
      </w:pPr>
      <w:r>
        <w:t xml:space="preserve">Согласно п. </w:t>
      </w:r>
      <w:r w:rsidR="00EE187E">
        <w:t>60(1)</w:t>
      </w:r>
      <w:r>
        <w:t xml:space="preserve"> Правила предоставления коммунальных услуг</w:t>
      </w:r>
      <w:r w:rsidR="00EE187E">
        <w:t xml:space="preserve"> </w:t>
      </w:r>
      <w:r>
        <w:t>п</w:t>
      </w:r>
      <w:r w:rsidR="00EE187E">
        <w:t xml:space="preserve">о истечении указанного в </w:t>
      </w:r>
      <w:r w:rsidR="00360643">
        <w:t>п.</w:t>
      </w:r>
      <w:r w:rsidR="00EE187E">
        <w:t xml:space="preserve"> 59(1) Правил </w:t>
      </w:r>
      <w:r w:rsidR="00360643">
        <w:t xml:space="preserve">предоставления коммунальных услуг </w:t>
      </w:r>
      <w:r w:rsidR="00EE187E">
        <w:t>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E187E" w:rsidRDefault="00EE187E" w:rsidP="00CB4AC5">
      <w:pPr>
        <w:pStyle w:val="a7"/>
        <w:numPr>
          <w:ilvl w:val="0"/>
          <w:numId w:val="24"/>
        </w:numPr>
        <w:spacing w:before="240"/>
        <w:jc w:val="both"/>
      </w:pPr>
      <w:r>
        <w:t xml:space="preserve">за коммунальную услугу, предоставленную на общедомовые нужды - в порядке, указанном в </w:t>
      </w:r>
      <w:r w:rsidR="00360643">
        <w:t>п.</w:t>
      </w:r>
      <w:r>
        <w:t xml:space="preserve"> 48 Правил</w:t>
      </w:r>
      <w:r w:rsidR="00360643" w:rsidRPr="00360643">
        <w:t xml:space="preserve"> </w:t>
      </w:r>
      <w:r w:rsidR="00360643">
        <w:t>предоставления коммунальных услуг</w:t>
      </w:r>
      <w:r>
        <w:t>;</w:t>
      </w:r>
    </w:p>
    <w:p w:rsidR="00EE187E" w:rsidRDefault="00EE187E" w:rsidP="00EE187E">
      <w:pPr>
        <w:spacing w:before="2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proofErr w:type="spellStart"/>
      <w:r w:rsidR="00360643">
        <w:t>пп</w:t>
      </w:r>
      <w:proofErr w:type="spellEnd"/>
      <w:r w:rsidR="00360643">
        <w:t>.</w:t>
      </w:r>
      <w:r>
        <w:t xml:space="preserve"> </w:t>
      </w:r>
      <w:r w:rsidR="00360643">
        <w:t>«</w:t>
      </w:r>
      <w:r>
        <w:t>в</w:t>
      </w:r>
      <w:r w:rsidR="00360643">
        <w:t>»</w:t>
      </w:r>
      <w:r>
        <w:t xml:space="preserve"> </w:t>
      </w:r>
      <w:r w:rsidR="00360643">
        <w:t>п.</w:t>
      </w:r>
      <w:r>
        <w:t xml:space="preserve"> 59 Правил </w:t>
      </w:r>
      <w:r w:rsidR="00360643">
        <w:t xml:space="preserve">предоставления коммунальных услуг </w:t>
      </w:r>
      <w:r>
        <w:t xml:space="preserve">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w:t>
      </w:r>
      <w:r w:rsidR="00CB4AC5">
        <w:t>№</w:t>
      </w:r>
      <w:r>
        <w:t xml:space="preserve"> 2 </w:t>
      </w:r>
      <w:r w:rsidR="00CB4AC5">
        <w:t xml:space="preserve">к Правилам предоставления коммунальных услуг </w:t>
      </w:r>
      <w:r>
        <w:t>формулами расчета повышающих коэффициентов, начиная с расчетного периода, следующего за расчетным периодом</w:t>
      </w:r>
      <w:r w:rsidR="00CB4AC5">
        <w:t xml:space="preserve"> </w:t>
      </w:r>
      <w:r>
        <w:t>до даты составления акта проверки.</w:t>
      </w:r>
    </w:p>
    <w:p w:rsidR="00F2465B" w:rsidRDefault="00CB4AC5" w:rsidP="00EE187E">
      <w:pPr>
        <w:spacing w:before="240"/>
        <w:jc w:val="both"/>
      </w:pPr>
      <w:r>
        <w:t xml:space="preserve">Согласно п. </w:t>
      </w:r>
      <w:r w:rsidR="00EE187E">
        <w:t>60(3)</w:t>
      </w:r>
      <w:r>
        <w:t xml:space="preserve"> Правила предоставления коммунальных услуг</w:t>
      </w:r>
      <w:r w:rsidR="00EE187E">
        <w:t xml:space="preserve"> </w:t>
      </w:r>
      <w:r>
        <w:t>в</w:t>
      </w:r>
      <w:r w:rsidR="00EE187E">
        <w:t xml:space="preserve">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w:t>
      </w:r>
      <w:r w:rsidR="00EE187E">
        <w:lastRenderedPageBreak/>
        <w:t xml:space="preserve">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w:t>
      </w:r>
      <w:r w:rsidR="00360643">
        <w:t>–</w:t>
      </w:r>
      <w:r w:rsidR="00EE187E">
        <w:t xml:space="preserve"> в</w:t>
      </w:r>
      <w:r w:rsidR="00360643">
        <w:t xml:space="preserve"> </w:t>
      </w:r>
      <w:r w:rsidR="00EE187E">
        <w:t>отношении жилого дома (домовладения) был составлен повторный акт об отказе в допуске к прибору учета и (или) месту установки прибора учета.</w:t>
      </w:r>
    </w:p>
    <w:p w:rsidR="00F2465B" w:rsidRDefault="00F2465B" w:rsidP="00F2465B">
      <w:pPr>
        <w:spacing w:before="240"/>
        <w:jc w:val="both"/>
        <w:rPr>
          <w:b/>
        </w:rPr>
      </w:pPr>
      <w:r w:rsidRPr="006917D4">
        <w:rPr>
          <w:b/>
        </w:rPr>
        <w:t>Для юридических лиц</w:t>
      </w:r>
    </w:p>
    <w:p w:rsidR="00F2465B" w:rsidRDefault="00F2465B" w:rsidP="00F2465B">
      <w:pPr>
        <w:spacing w:before="240"/>
        <w:jc w:val="both"/>
      </w:pPr>
      <w:r>
        <w:t xml:space="preserve">Согласно п. 180 Основных </w:t>
      </w:r>
      <w:r w:rsidRPr="00954713">
        <w:t>положений</w:t>
      </w:r>
      <w:r>
        <w:t xml:space="preserve">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п. 136 Основных </w:t>
      </w:r>
      <w:r w:rsidRPr="00954713">
        <w:t>положений</w:t>
      </w:r>
      <w:r>
        <w:t>:</w:t>
      </w:r>
    </w:p>
    <w:p w:rsidR="00F2465B" w:rsidRDefault="00F2465B" w:rsidP="00F2465B">
      <w:pPr>
        <w:pStyle w:val="a7"/>
        <w:numPr>
          <w:ilvl w:val="0"/>
          <w:numId w:val="18"/>
        </w:numPr>
        <w:spacing w:before="240"/>
        <w:jc w:val="both"/>
      </w:pPr>
      <w:r>
        <w:t>для 1-го и последующих часов первого расчетного периода определяется с использованием замещающей информации;</w:t>
      </w:r>
    </w:p>
    <w:p w:rsidR="00F2465B" w:rsidRDefault="00F2465B" w:rsidP="00F2465B">
      <w:pPr>
        <w:pStyle w:val="a7"/>
        <w:numPr>
          <w:ilvl w:val="0"/>
          <w:numId w:val="18"/>
        </w:numPr>
        <w:spacing w:before="2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F2465B" w:rsidRDefault="00F2465B" w:rsidP="00F2465B">
      <w:pPr>
        <w:spacing w:before="2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F2465B" w:rsidRDefault="00F2465B" w:rsidP="00F2465B">
      <w:pPr>
        <w:pStyle w:val="a7"/>
        <w:numPr>
          <w:ilvl w:val="0"/>
          <w:numId w:val="19"/>
        </w:numPr>
        <w:spacing w:before="2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F2465B" w:rsidRDefault="00F2465B" w:rsidP="00F2465B">
      <w:pPr>
        <w:pStyle w:val="a7"/>
        <w:numPr>
          <w:ilvl w:val="0"/>
          <w:numId w:val="19"/>
        </w:numPr>
        <w:spacing w:before="2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F2465B" w:rsidRDefault="00F2465B" w:rsidP="00F2465B">
      <w:pPr>
        <w:spacing w:before="240"/>
        <w:jc w:val="both"/>
      </w:pPr>
      <w:r>
        <w:t xml:space="preserve">Согласно п. 181 Основных </w:t>
      </w:r>
      <w:r w:rsidRPr="00954713">
        <w:t>положений</w:t>
      </w:r>
      <w:r>
        <w:t xml:space="preserve">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F2465B" w:rsidRDefault="00F2465B" w:rsidP="00F2465B">
      <w:pPr>
        <w:pStyle w:val="a7"/>
        <w:numPr>
          <w:ilvl w:val="0"/>
          <w:numId w:val="20"/>
        </w:numPr>
        <w:spacing w:before="2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F2465B" w:rsidRDefault="00F2465B" w:rsidP="00F2465B">
      <w:pPr>
        <w:pStyle w:val="a7"/>
        <w:numPr>
          <w:ilvl w:val="0"/>
          <w:numId w:val="20"/>
        </w:numPr>
        <w:spacing w:before="2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F2465B" w:rsidRDefault="00F2465B" w:rsidP="00F2465B">
      <w:pPr>
        <w:spacing w:before="240"/>
        <w:jc w:val="both"/>
      </w:pPr>
      <w:r>
        <w:t xml:space="preserve">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w:t>
      </w:r>
      <w:r>
        <w:lastRenderedPageBreak/>
        <w:t>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F2465B" w:rsidRDefault="00F2465B" w:rsidP="00F2465B">
      <w:pPr>
        <w:pStyle w:val="a7"/>
        <w:numPr>
          <w:ilvl w:val="0"/>
          <w:numId w:val="21"/>
        </w:numPr>
        <w:spacing w:before="2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F2465B" w:rsidRDefault="00F2465B" w:rsidP="00F2465B">
      <w:pPr>
        <w:pStyle w:val="a7"/>
        <w:numPr>
          <w:ilvl w:val="0"/>
          <w:numId w:val="21"/>
        </w:numPr>
        <w:spacing w:before="2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F2465B" w:rsidRDefault="00F2465B" w:rsidP="00F2465B">
      <w:pPr>
        <w:spacing w:before="2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F2465B" w:rsidRDefault="00F2465B" w:rsidP="00F2465B">
      <w:pPr>
        <w:spacing w:before="240"/>
        <w:jc w:val="both"/>
      </w:pPr>
      <w:r>
        <w:t xml:space="preserve">Согласно 182 Основных </w:t>
      </w:r>
      <w:r w:rsidRPr="00954713">
        <w:t>положений</w:t>
      </w:r>
      <w:r>
        <w:t xml:space="preserve">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п. 164 Основных </w:t>
      </w:r>
      <w:r w:rsidRPr="00954713">
        <w:t>положений</w:t>
      </w:r>
      <w:r>
        <w:t>, а при его отсутствии – исходя из увеличенных в 1,5 раза значений, определенных на основании замещающей информации.</w:t>
      </w:r>
    </w:p>
    <w:p w:rsidR="00F2465B" w:rsidRDefault="00F2465B" w:rsidP="00F2465B">
      <w:pPr>
        <w:spacing w:before="2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F2465B" w:rsidRDefault="00F2465B" w:rsidP="00F2465B">
      <w:pPr>
        <w:spacing w:before="2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F2465B" w:rsidRDefault="00F2465B" w:rsidP="00F2465B">
      <w:pPr>
        <w:pStyle w:val="a7"/>
        <w:numPr>
          <w:ilvl w:val="0"/>
          <w:numId w:val="22"/>
        </w:numPr>
        <w:spacing w:before="2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F2465B" w:rsidRPr="006917D4" w:rsidRDefault="00F2465B" w:rsidP="00F2465B">
      <w:pPr>
        <w:pStyle w:val="a7"/>
        <w:numPr>
          <w:ilvl w:val="0"/>
          <w:numId w:val="22"/>
        </w:numPr>
        <w:spacing w:before="240"/>
        <w:jc w:val="both"/>
        <w:rPr>
          <w:b/>
        </w:rPr>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F2465B" w:rsidRDefault="00F2465B" w:rsidP="00F2465B">
      <w:pPr>
        <w:spacing w:before="240"/>
        <w:jc w:val="both"/>
      </w:pPr>
      <w:r>
        <w:t xml:space="preserve">Согласно п. 184 Основных </w:t>
      </w:r>
      <w:r w:rsidRPr="00954713">
        <w:t>положений</w:t>
      </w:r>
      <w:r>
        <w:t xml:space="preserve">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F2465B" w:rsidRDefault="00F2465B" w:rsidP="00F2465B">
      <w:pPr>
        <w:spacing w:before="240"/>
        <w:jc w:val="both"/>
      </w:pPr>
      <w:r>
        <w:lastRenderedPageBreak/>
        <w:t>Если в соответствии с Основными положениями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F2465B" w:rsidRDefault="00F2465B" w:rsidP="00F2465B">
      <w:pPr>
        <w:pStyle w:val="a7"/>
        <w:numPr>
          <w:ilvl w:val="0"/>
          <w:numId w:val="23"/>
        </w:numPr>
        <w:spacing w:before="240"/>
        <w:jc w:val="both"/>
      </w:pPr>
      <w:r>
        <w:t>для 1-го и последующих часов первого расчетного периода определяется с использованием замещающей информации;</w:t>
      </w:r>
    </w:p>
    <w:p w:rsidR="00F2465B" w:rsidRDefault="00F2465B" w:rsidP="00F2465B">
      <w:pPr>
        <w:pStyle w:val="a7"/>
        <w:numPr>
          <w:ilvl w:val="0"/>
          <w:numId w:val="23"/>
        </w:numPr>
        <w:spacing w:before="2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F2465B" w:rsidRDefault="00F2465B" w:rsidP="00F2465B">
      <w:pPr>
        <w:spacing w:before="240"/>
        <w:jc w:val="both"/>
      </w:pPr>
      <w:r>
        <w:t xml:space="preserve">Согласно п. </w:t>
      </w:r>
      <w:r w:rsidRPr="00C240D8">
        <w:t>185</w:t>
      </w:r>
      <w:r>
        <w:t xml:space="preserve"> Основных </w:t>
      </w:r>
      <w:r w:rsidRPr="00954713">
        <w:t>положений</w:t>
      </w:r>
      <w:r w:rsidRPr="00C240D8">
        <w:t xml:space="preserve"> </w:t>
      </w:r>
      <w:r>
        <w:t>в</w:t>
      </w:r>
      <w:r w:rsidRPr="00C240D8">
        <w:t xml:space="preserve">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AB4732" w:rsidRDefault="00AB4732"/>
    <w:sectPr w:rsidR="00AB4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150"/>
    <w:multiLevelType w:val="hybridMultilevel"/>
    <w:tmpl w:val="C7521A66"/>
    <w:lvl w:ilvl="0" w:tplc="39D2952A">
      <w:start w:val="1"/>
      <w:numFmt w:val="bullet"/>
      <w:pStyle w:val="-"/>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3E311E4"/>
    <w:multiLevelType w:val="multilevel"/>
    <w:tmpl w:val="F968AFEC"/>
    <w:styleLink w:val="List0"/>
    <w:lvl w:ilvl="0">
      <w:start w:val="1"/>
      <w:numFmt w:val="decimal"/>
      <w:lvlText w:val="%1."/>
      <w:lvlJc w:val="left"/>
      <w:pPr>
        <w:tabs>
          <w:tab w:val="num" w:pos="565"/>
        </w:tabs>
        <w:ind w:left="565" w:hanging="565"/>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2" w15:restartNumberingAfterBreak="0">
    <w:nsid w:val="21242B5E"/>
    <w:multiLevelType w:val="hybridMultilevel"/>
    <w:tmpl w:val="EAD8D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151318"/>
    <w:multiLevelType w:val="multilevel"/>
    <w:tmpl w:val="41387F8C"/>
    <w:styleLink w:val="21"/>
    <w:lvl w:ilvl="0">
      <w:start w:val="8"/>
      <w:numFmt w:val="decimal"/>
      <w:lvlText w:val="%1."/>
      <w:lvlJc w:val="left"/>
      <w:pPr>
        <w:tabs>
          <w:tab w:val="num" w:pos="1275"/>
        </w:tabs>
        <w:ind w:left="1275" w:hanging="565"/>
      </w:pPr>
      <w:rPr>
        <w:position w:val="0"/>
        <w:sz w:val="24"/>
        <w:szCs w:val="24"/>
        <w:shd w:val="clear" w:color="auto" w:fill="FFFF00"/>
        <w:lang w:val="ru-RU"/>
      </w:rPr>
    </w:lvl>
    <w:lvl w:ilvl="1">
      <w:start w:val="1"/>
      <w:numFmt w:val="lowerLetter"/>
      <w:lvlText w:val="%2."/>
      <w:lvlJc w:val="left"/>
      <w:pPr>
        <w:tabs>
          <w:tab w:val="num" w:pos="2705"/>
        </w:tabs>
        <w:ind w:left="2705" w:hanging="565"/>
      </w:pPr>
      <w:rPr>
        <w:position w:val="0"/>
        <w:sz w:val="24"/>
        <w:szCs w:val="24"/>
        <w:shd w:val="clear" w:color="auto" w:fill="FFFF00"/>
        <w:lang w:val="ru-RU"/>
      </w:rPr>
    </w:lvl>
    <w:lvl w:ilvl="2">
      <w:start w:val="1"/>
      <w:numFmt w:val="lowerRoman"/>
      <w:lvlText w:val="%3."/>
      <w:lvlJc w:val="left"/>
      <w:pPr>
        <w:tabs>
          <w:tab w:val="num" w:pos="3220"/>
        </w:tabs>
        <w:ind w:left="3220" w:hanging="296"/>
      </w:pPr>
      <w:rPr>
        <w:position w:val="0"/>
        <w:sz w:val="24"/>
        <w:szCs w:val="24"/>
        <w:shd w:val="clear" w:color="auto" w:fill="FFFF00"/>
        <w:lang w:val="ru-RU"/>
      </w:rPr>
    </w:lvl>
    <w:lvl w:ilvl="3">
      <w:start w:val="1"/>
      <w:numFmt w:val="decimal"/>
      <w:lvlText w:val="%4."/>
      <w:lvlJc w:val="left"/>
      <w:pPr>
        <w:tabs>
          <w:tab w:val="num" w:pos="3940"/>
        </w:tabs>
        <w:ind w:left="3940" w:hanging="360"/>
      </w:pPr>
      <w:rPr>
        <w:position w:val="0"/>
        <w:sz w:val="24"/>
        <w:szCs w:val="24"/>
        <w:shd w:val="clear" w:color="auto" w:fill="FFFF00"/>
        <w:lang w:val="ru-RU"/>
      </w:rPr>
    </w:lvl>
    <w:lvl w:ilvl="4">
      <w:start w:val="1"/>
      <w:numFmt w:val="lowerLetter"/>
      <w:lvlText w:val="%5."/>
      <w:lvlJc w:val="left"/>
      <w:pPr>
        <w:tabs>
          <w:tab w:val="num" w:pos="4660"/>
        </w:tabs>
        <w:ind w:left="4660" w:hanging="360"/>
      </w:pPr>
      <w:rPr>
        <w:position w:val="0"/>
        <w:sz w:val="24"/>
        <w:szCs w:val="24"/>
        <w:shd w:val="clear" w:color="auto" w:fill="FFFF00"/>
        <w:lang w:val="ru-RU"/>
      </w:rPr>
    </w:lvl>
    <w:lvl w:ilvl="5">
      <w:start w:val="1"/>
      <w:numFmt w:val="lowerRoman"/>
      <w:lvlText w:val="%6."/>
      <w:lvlJc w:val="left"/>
      <w:pPr>
        <w:tabs>
          <w:tab w:val="num" w:pos="5380"/>
        </w:tabs>
        <w:ind w:left="5380" w:hanging="296"/>
      </w:pPr>
      <w:rPr>
        <w:position w:val="0"/>
        <w:sz w:val="24"/>
        <w:szCs w:val="24"/>
        <w:shd w:val="clear" w:color="auto" w:fill="FFFF00"/>
        <w:lang w:val="ru-RU"/>
      </w:rPr>
    </w:lvl>
    <w:lvl w:ilvl="6">
      <w:start w:val="1"/>
      <w:numFmt w:val="decimal"/>
      <w:lvlText w:val="%7."/>
      <w:lvlJc w:val="left"/>
      <w:pPr>
        <w:tabs>
          <w:tab w:val="num" w:pos="6100"/>
        </w:tabs>
        <w:ind w:left="6100" w:hanging="360"/>
      </w:pPr>
      <w:rPr>
        <w:position w:val="0"/>
        <w:sz w:val="24"/>
        <w:szCs w:val="24"/>
        <w:shd w:val="clear" w:color="auto" w:fill="FFFF00"/>
        <w:lang w:val="ru-RU"/>
      </w:rPr>
    </w:lvl>
    <w:lvl w:ilvl="7">
      <w:start w:val="1"/>
      <w:numFmt w:val="lowerLetter"/>
      <w:lvlText w:val="%8."/>
      <w:lvlJc w:val="left"/>
      <w:pPr>
        <w:tabs>
          <w:tab w:val="num" w:pos="6820"/>
        </w:tabs>
        <w:ind w:left="6820" w:hanging="360"/>
      </w:pPr>
      <w:rPr>
        <w:position w:val="0"/>
        <w:sz w:val="24"/>
        <w:szCs w:val="24"/>
        <w:shd w:val="clear" w:color="auto" w:fill="FFFF00"/>
        <w:lang w:val="ru-RU"/>
      </w:rPr>
    </w:lvl>
    <w:lvl w:ilvl="8">
      <w:start w:val="1"/>
      <w:numFmt w:val="lowerRoman"/>
      <w:lvlText w:val="%9."/>
      <w:lvlJc w:val="left"/>
      <w:pPr>
        <w:tabs>
          <w:tab w:val="num" w:pos="7540"/>
        </w:tabs>
        <w:ind w:left="7540" w:hanging="296"/>
      </w:pPr>
      <w:rPr>
        <w:position w:val="0"/>
        <w:sz w:val="24"/>
        <w:szCs w:val="24"/>
        <w:shd w:val="clear" w:color="auto" w:fill="FFFF00"/>
        <w:lang w:val="ru-RU"/>
      </w:rPr>
    </w:lvl>
  </w:abstractNum>
  <w:abstractNum w:abstractNumId="4" w15:restartNumberingAfterBreak="0">
    <w:nsid w:val="23DF5633"/>
    <w:multiLevelType w:val="hybridMultilevel"/>
    <w:tmpl w:val="56902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8F349D"/>
    <w:multiLevelType w:val="hybridMultilevel"/>
    <w:tmpl w:val="43EC3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09104F"/>
    <w:multiLevelType w:val="hybridMultilevel"/>
    <w:tmpl w:val="BD80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EE5EB4"/>
    <w:multiLevelType w:val="hybridMultilevel"/>
    <w:tmpl w:val="F85A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D43BBE"/>
    <w:multiLevelType w:val="multilevel"/>
    <w:tmpl w:val="3C68C71A"/>
    <w:styleLink w:val="List1"/>
    <w:lvl w:ilvl="0">
      <w:start w:val="9"/>
      <w:numFmt w:val="decimal"/>
      <w:lvlText w:val="%1."/>
      <w:lvlJc w:val="left"/>
      <w:pPr>
        <w:tabs>
          <w:tab w:val="num" w:pos="565"/>
        </w:tabs>
        <w:ind w:left="565" w:hanging="565"/>
      </w:pPr>
      <w:rPr>
        <w:position w:val="0"/>
        <w:sz w:val="24"/>
        <w:szCs w:val="24"/>
        <w:lang w:val="ru-RU"/>
      </w:rPr>
    </w:lvl>
    <w:lvl w:ilvl="1">
      <w:start w:val="1"/>
      <w:numFmt w:val="lowerLetter"/>
      <w:lvlText w:val="%2."/>
      <w:lvlJc w:val="left"/>
      <w:pPr>
        <w:tabs>
          <w:tab w:val="num" w:pos="1790"/>
        </w:tabs>
        <w:ind w:left="1790" w:hanging="360"/>
      </w:pPr>
      <w:rPr>
        <w:position w:val="0"/>
        <w:sz w:val="24"/>
        <w:szCs w:val="24"/>
        <w:lang w:val="ru-RU"/>
      </w:rPr>
    </w:lvl>
    <w:lvl w:ilvl="2">
      <w:start w:val="1"/>
      <w:numFmt w:val="lowerRoman"/>
      <w:lvlText w:val="%3."/>
      <w:lvlJc w:val="left"/>
      <w:pPr>
        <w:tabs>
          <w:tab w:val="num" w:pos="2510"/>
        </w:tabs>
        <w:ind w:left="2510" w:hanging="296"/>
      </w:pPr>
      <w:rPr>
        <w:position w:val="0"/>
        <w:sz w:val="24"/>
        <w:szCs w:val="24"/>
        <w:lang w:val="ru-RU"/>
      </w:rPr>
    </w:lvl>
    <w:lvl w:ilvl="3">
      <w:start w:val="1"/>
      <w:numFmt w:val="decimal"/>
      <w:lvlText w:val="%4."/>
      <w:lvlJc w:val="left"/>
      <w:pPr>
        <w:tabs>
          <w:tab w:val="num" w:pos="3230"/>
        </w:tabs>
        <w:ind w:left="3230" w:hanging="360"/>
      </w:pPr>
      <w:rPr>
        <w:position w:val="0"/>
        <w:sz w:val="24"/>
        <w:szCs w:val="24"/>
        <w:lang w:val="ru-RU"/>
      </w:rPr>
    </w:lvl>
    <w:lvl w:ilvl="4">
      <w:start w:val="1"/>
      <w:numFmt w:val="lowerLetter"/>
      <w:lvlText w:val="%5."/>
      <w:lvlJc w:val="left"/>
      <w:pPr>
        <w:tabs>
          <w:tab w:val="num" w:pos="3950"/>
        </w:tabs>
        <w:ind w:left="3950" w:hanging="360"/>
      </w:pPr>
      <w:rPr>
        <w:position w:val="0"/>
        <w:sz w:val="24"/>
        <w:szCs w:val="24"/>
        <w:lang w:val="ru-RU"/>
      </w:rPr>
    </w:lvl>
    <w:lvl w:ilvl="5">
      <w:start w:val="1"/>
      <w:numFmt w:val="lowerRoman"/>
      <w:lvlText w:val="%6."/>
      <w:lvlJc w:val="left"/>
      <w:pPr>
        <w:tabs>
          <w:tab w:val="num" w:pos="4670"/>
        </w:tabs>
        <w:ind w:left="4670" w:hanging="296"/>
      </w:pPr>
      <w:rPr>
        <w:position w:val="0"/>
        <w:sz w:val="24"/>
        <w:szCs w:val="24"/>
        <w:lang w:val="ru-RU"/>
      </w:rPr>
    </w:lvl>
    <w:lvl w:ilvl="6">
      <w:start w:val="1"/>
      <w:numFmt w:val="decimal"/>
      <w:lvlText w:val="%7."/>
      <w:lvlJc w:val="left"/>
      <w:pPr>
        <w:tabs>
          <w:tab w:val="num" w:pos="5390"/>
        </w:tabs>
        <w:ind w:left="5390" w:hanging="360"/>
      </w:pPr>
      <w:rPr>
        <w:position w:val="0"/>
        <w:sz w:val="24"/>
        <w:szCs w:val="24"/>
        <w:lang w:val="ru-RU"/>
      </w:rPr>
    </w:lvl>
    <w:lvl w:ilvl="7">
      <w:start w:val="1"/>
      <w:numFmt w:val="lowerLetter"/>
      <w:lvlText w:val="%8."/>
      <w:lvlJc w:val="left"/>
      <w:pPr>
        <w:tabs>
          <w:tab w:val="num" w:pos="6110"/>
        </w:tabs>
        <w:ind w:left="6110" w:hanging="360"/>
      </w:pPr>
      <w:rPr>
        <w:position w:val="0"/>
        <w:sz w:val="24"/>
        <w:szCs w:val="24"/>
        <w:lang w:val="ru-RU"/>
      </w:rPr>
    </w:lvl>
    <w:lvl w:ilvl="8">
      <w:start w:val="1"/>
      <w:numFmt w:val="lowerRoman"/>
      <w:lvlText w:val="%9."/>
      <w:lvlJc w:val="left"/>
      <w:pPr>
        <w:tabs>
          <w:tab w:val="num" w:pos="6830"/>
        </w:tabs>
        <w:ind w:left="6830" w:hanging="296"/>
      </w:pPr>
      <w:rPr>
        <w:position w:val="0"/>
        <w:sz w:val="24"/>
        <w:szCs w:val="24"/>
        <w:lang w:val="ru-RU"/>
      </w:rPr>
    </w:lvl>
  </w:abstractNum>
  <w:abstractNum w:abstractNumId="9" w15:restartNumberingAfterBreak="0">
    <w:nsid w:val="7AA85ED6"/>
    <w:multiLevelType w:val="multilevel"/>
    <w:tmpl w:val="B922F904"/>
    <w:lvl w:ilvl="0">
      <w:start w:val="1"/>
      <w:numFmt w:val="decimal"/>
      <w:lvlText w:val="%1."/>
      <w:lvlJc w:val="left"/>
      <w:pPr>
        <w:ind w:left="360" w:hanging="360"/>
      </w:pPr>
      <w:rPr>
        <w:rFonts w:hint="default"/>
      </w:rPr>
    </w:lvl>
    <w:lvl w:ilvl="1">
      <w:start w:val="1"/>
      <w:numFmt w:val="decimal"/>
      <w:pStyle w:val="11"/>
      <w:lvlText w:val="%1.%2."/>
      <w:lvlJc w:val="left"/>
      <w:pPr>
        <w:ind w:left="2509" w:hanging="360"/>
      </w:pPr>
      <w:rPr>
        <w:rFonts w:hint="default"/>
      </w:rPr>
    </w:lvl>
    <w:lvl w:ilvl="2">
      <w:start w:val="1"/>
      <w:numFmt w:val="decimal"/>
      <w:pStyle w:val="111"/>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0" w15:restartNumberingAfterBreak="0">
    <w:nsid w:val="7B6345F7"/>
    <w:multiLevelType w:val="hybridMultilevel"/>
    <w:tmpl w:val="B33C9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EA6A17"/>
    <w:multiLevelType w:val="hybridMultilevel"/>
    <w:tmpl w:val="A150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0"/>
  </w:num>
  <w:num w:numId="7">
    <w:abstractNumId w:val="9"/>
  </w:num>
  <w:num w:numId="8">
    <w:abstractNumId w:val="1"/>
  </w:num>
  <w:num w:numId="9">
    <w:abstractNumId w:val="8"/>
  </w:num>
  <w:num w:numId="10">
    <w:abstractNumId w:val="3"/>
  </w:num>
  <w:num w:numId="11">
    <w:abstractNumId w:val="1"/>
  </w:num>
  <w:num w:numId="12">
    <w:abstractNumId w:val="8"/>
  </w:num>
  <w:num w:numId="13">
    <w:abstractNumId w:val="3"/>
  </w:num>
  <w:num w:numId="14">
    <w:abstractNumId w:val="0"/>
  </w:num>
  <w:num w:numId="15">
    <w:abstractNumId w:val="9"/>
  </w:num>
  <w:num w:numId="16">
    <w:abstractNumId w:val="9"/>
  </w:num>
  <w:num w:numId="17">
    <w:abstractNumId w:val="9"/>
  </w:num>
  <w:num w:numId="18">
    <w:abstractNumId w:val="7"/>
  </w:num>
  <w:num w:numId="19">
    <w:abstractNumId w:val="2"/>
  </w:num>
  <w:num w:numId="20">
    <w:abstractNumId w:val="4"/>
  </w:num>
  <w:num w:numId="21">
    <w:abstractNumId w:val="10"/>
  </w:num>
  <w:num w:numId="22">
    <w:abstractNumId w:val="5"/>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5B"/>
    <w:rsid w:val="00360643"/>
    <w:rsid w:val="00503A02"/>
    <w:rsid w:val="008F596A"/>
    <w:rsid w:val="009426AF"/>
    <w:rsid w:val="009D639D"/>
    <w:rsid w:val="00A52C97"/>
    <w:rsid w:val="00AB4732"/>
    <w:rsid w:val="00CB4AC5"/>
    <w:rsid w:val="00EE187E"/>
    <w:rsid w:val="00F2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8F8C-5DB7-491E-99A4-AA31D8B9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5B"/>
  </w:style>
  <w:style w:type="paragraph" w:styleId="1">
    <w:name w:val="heading 1"/>
    <w:basedOn w:val="a"/>
    <w:next w:val="a"/>
    <w:link w:val="10"/>
    <w:uiPriority w:val="9"/>
    <w:qFormat/>
    <w:rsid w:val="008F59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
    <w:name w:val="Заголовок 123"/>
    <w:basedOn w:val="1"/>
    <w:next w:val="a"/>
    <w:link w:val="1230"/>
    <w:autoRedefine/>
    <w:qFormat/>
    <w:rsid w:val="008F596A"/>
    <w:pPr>
      <w:spacing w:before="0"/>
      <w:ind w:firstLine="709"/>
      <w:jc w:val="center"/>
    </w:pPr>
    <w:rPr>
      <w:rFonts w:ascii="Times New Roman" w:hAnsi="Times New Roman" w:cs="Times New Roman"/>
      <w:sz w:val="24"/>
      <w:szCs w:val="24"/>
    </w:rPr>
  </w:style>
  <w:style w:type="character" w:customStyle="1" w:styleId="1230">
    <w:name w:val="Заголовок 123 Знак"/>
    <w:basedOn w:val="10"/>
    <w:link w:val="123"/>
    <w:rsid w:val="008F596A"/>
    <w:rPr>
      <w:rFonts w:ascii="Times New Roman" w:eastAsiaTheme="majorEastAsia" w:hAnsi="Times New Roman" w:cs="Times New Roman"/>
      <w:color w:val="2F5496" w:themeColor="accent1" w:themeShade="BF"/>
      <w:sz w:val="24"/>
      <w:szCs w:val="24"/>
    </w:rPr>
  </w:style>
  <w:style w:type="character" w:customStyle="1" w:styleId="10">
    <w:name w:val="Заголовок 1 Знак"/>
    <w:basedOn w:val="a0"/>
    <w:link w:val="1"/>
    <w:uiPriority w:val="9"/>
    <w:rsid w:val="008F596A"/>
    <w:rPr>
      <w:rFonts w:asciiTheme="majorHAnsi" w:eastAsiaTheme="majorEastAsia" w:hAnsiTheme="majorHAnsi" w:cstheme="majorBidi"/>
      <w:color w:val="2F5496" w:themeColor="accent1" w:themeShade="BF"/>
      <w:sz w:val="32"/>
      <w:szCs w:val="32"/>
    </w:rPr>
  </w:style>
  <w:style w:type="paragraph" w:customStyle="1" w:styleId="1231">
    <w:name w:val="Обычный 123"/>
    <w:basedOn w:val="a3"/>
    <w:autoRedefine/>
    <w:qFormat/>
    <w:rsid w:val="008F596A"/>
    <w:pPr>
      <w:pBdr>
        <w:top w:val="nil"/>
        <w:left w:val="nil"/>
        <w:bottom w:val="nil"/>
        <w:right w:val="nil"/>
        <w:between w:val="nil"/>
        <w:bar w:val="nil"/>
      </w:pBdr>
      <w:ind w:firstLine="709"/>
      <w:jc w:val="both"/>
    </w:pPr>
    <w:rPr>
      <w:rFonts w:eastAsia="Calibri"/>
      <w:color w:val="000000"/>
      <w:sz w:val="24"/>
      <w:szCs w:val="24"/>
      <w:u w:color="000000"/>
      <w:bdr w:val="nil"/>
      <w:lang w:eastAsia="ru-RU"/>
    </w:rPr>
  </w:style>
  <w:style w:type="paragraph" w:styleId="a3">
    <w:name w:val="No Spacing"/>
    <w:uiPriority w:val="1"/>
    <w:qFormat/>
    <w:rsid w:val="008F596A"/>
  </w:style>
  <w:style w:type="paragraph" w:customStyle="1" w:styleId="12311">
    <w:name w:val="123 1.1 Обычный"/>
    <w:basedOn w:val="a"/>
    <w:link w:val="123110"/>
    <w:autoRedefine/>
    <w:qFormat/>
    <w:rsid w:val="008F596A"/>
    <w:pPr>
      <w:pBdr>
        <w:top w:val="nil"/>
        <w:left w:val="nil"/>
        <w:bottom w:val="nil"/>
        <w:right w:val="nil"/>
        <w:between w:val="nil"/>
        <w:bar w:val="nil"/>
      </w:pBdr>
      <w:jc w:val="both"/>
    </w:pPr>
    <w:rPr>
      <w:rFonts w:eastAsia="Calibri"/>
      <w:color w:val="000000"/>
      <w:sz w:val="24"/>
      <w:szCs w:val="24"/>
      <w:u w:color="000000"/>
      <w:bdr w:val="nil"/>
      <w:lang w:eastAsia="ru-RU"/>
    </w:rPr>
  </w:style>
  <w:style w:type="character" w:customStyle="1" w:styleId="123110">
    <w:name w:val="123 1.1 Обычный Знак"/>
    <w:basedOn w:val="a0"/>
    <w:link w:val="12311"/>
    <w:rsid w:val="008F596A"/>
    <w:rPr>
      <w:rFonts w:ascii="Times New Roman" w:eastAsia="Calibri" w:hAnsi="Times New Roman" w:cs="Times New Roman"/>
      <w:color w:val="000000"/>
      <w:sz w:val="24"/>
      <w:szCs w:val="24"/>
      <w:u w:color="000000"/>
      <w:bdr w:val="nil"/>
      <w:lang w:eastAsia="ru-RU"/>
    </w:rPr>
  </w:style>
  <w:style w:type="paragraph" w:customStyle="1" w:styleId="123111">
    <w:name w:val="123 1.1.1 Обычный"/>
    <w:basedOn w:val="12311"/>
    <w:link w:val="1231110"/>
    <w:autoRedefine/>
    <w:qFormat/>
    <w:rsid w:val="008F596A"/>
    <w:pPr>
      <w:tabs>
        <w:tab w:val="left" w:pos="1418"/>
      </w:tabs>
      <w:ind w:firstLine="709"/>
    </w:pPr>
  </w:style>
  <w:style w:type="character" w:customStyle="1" w:styleId="1231110">
    <w:name w:val="123 1.1.1 Обычный Знак"/>
    <w:basedOn w:val="123110"/>
    <w:link w:val="123111"/>
    <w:rsid w:val="008F596A"/>
    <w:rPr>
      <w:rFonts w:ascii="Times New Roman" w:eastAsia="Calibri" w:hAnsi="Times New Roman" w:cs="Times New Roman"/>
      <w:color w:val="000000"/>
      <w:sz w:val="24"/>
      <w:szCs w:val="24"/>
      <w:u w:color="000000"/>
      <w:bdr w:val="nil"/>
      <w:lang w:eastAsia="ru-RU"/>
    </w:rPr>
  </w:style>
  <w:style w:type="paragraph" w:customStyle="1" w:styleId="111">
    <w:name w:val="+ 1.1.1 Обычный"/>
    <w:basedOn w:val="11"/>
    <w:link w:val="1110"/>
    <w:qFormat/>
    <w:rsid w:val="008F596A"/>
    <w:pPr>
      <w:numPr>
        <w:ilvl w:val="2"/>
      </w:numPr>
      <w:tabs>
        <w:tab w:val="clear" w:pos="1418"/>
        <w:tab w:val="left" w:pos="1701"/>
      </w:tabs>
    </w:pPr>
  </w:style>
  <w:style w:type="character" w:customStyle="1" w:styleId="1110">
    <w:name w:val="+ 1.1.1 Обычный Знак"/>
    <w:basedOn w:val="110"/>
    <w:link w:val="111"/>
    <w:rsid w:val="008F596A"/>
    <w:rPr>
      <w:rFonts w:ascii="Times New Roman" w:eastAsia="Calibri" w:hAnsi="Times New Roman" w:cs="Calibri"/>
      <w:color w:val="000000"/>
      <w:sz w:val="24"/>
      <w:szCs w:val="24"/>
      <w:u w:color="000000"/>
      <w:bdr w:val="nil"/>
      <w:lang w:eastAsia="ru-RU"/>
    </w:rPr>
  </w:style>
  <w:style w:type="paragraph" w:customStyle="1" w:styleId="11">
    <w:name w:val="+ 1.1 Обычный"/>
    <w:basedOn w:val="1232"/>
    <w:link w:val="110"/>
    <w:qFormat/>
    <w:rsid w:val="008F596A"/>
    <w:pPr>
      <w:numPr>
        <w:ilvl w:val="1"/>
        <w:numId w:val="17"/>
      </w:numPr>
      <w:tabs>
        <w:tab w:val="left" w:pos="1418"/>
      </w:tabs>
    </w:pPr>
  </w:style>
  <w:style w:type="character" w:customStyle="1" w:styleId="110">
    <w:name w:val="+ 1.1 Обычный Знак"/>
    <w:basedOn w:val="1233"/>
    <w:link w:val="11"/>
    <w:rsid w:val="008F596A"/>
    <w:rPr>
      <w:rFonts w:ascii="Times New Roman" w:eastAsia="Calibri" w:hAnsi="Times New Roman" w:cs="Calibri"/>
      <w:color w:val="000000"/>
      <w:sz w:val="24"/>
      <w:szCs w:val="24"/>
      <w:u w:color="000000"/>
      <w:bdr w:val="nil"/>
      <w:lang w:eastAsia="ru-RU"/>
    </w:rPr>
  </w:style>
  <w:style w:type="paragraph" w:customStyle="1" w:styleId="-">
    <w:name w:val="+ - Обычный"/>
    <w:basedOn w:val="a"/>
    <w:qFormat/>
    <w:rsid w:val="008F596A"/>
    <w:pPr>
      <w:widowControl w:val="0"/>
      <w:numPr>
        <w:numId w:val="14"/>
      </w:numPr>
      <w:tabs>
        <w:tab w:val="left" w:pos="1418"/>
      </w:tabs>
      <w:autoSpaceDE w:val="0"/>
      <w:autoSpaceDN w:val="0"/>
      <w:jc w:val="both"/>
    </w:pPr>
    <w:rPr>
      <w:rFonts w:eastAsia="Times New Roman"/>
      <w:sz w:val="24"/>
      <w:szCs w:val="24"/>
      <w:lang w:eastAsia="ru-RU"/>
    </w:rPr>
  </w:style>
  <w:style w:type="paragraph" w:customStyle="1" w:styleId="1111">
    <w:name w:val="+ 1.1.1.1 Обвчный"/>
    <w:basedOn w:val="111"/>
    <w:link w:val="11110"/>
    <w:qFormat/>
    <w:rsid w:val="008F596A"/>
    <w:pPr>
      <w:ind w:left="0" w:firstLine="709"/>
    </w:pPr>
  </w:style>
  <w:style w:type="character" w:customStyle="1" w:styleId="11110">
    <w:name w:val="+ 1.1.1.1 Обвчный Знак"/>
    <w:basedOn w:val="1110"/>
    <w:link w:val="1111"/>
    <w:rsid w:val="008F596A"/>
    <w:rPr>
      <w:rFonts w:ascii="Times New Roman" w:eastAsia="Calibri" w:hAnsi="Times New Roman" w:cs="Calibri"/>
      <w:color w:val="000000"/>
      <w:sz w:val="24"/>
      <w:szCs w:val="24"/>
      <w:u w:color="000000"/>
      <w:bdr w:val="nil"/>
      <w:lang w:eastAsia="ru-RU"/>
    </w:rPr>
  </w:style>
  <w:style w:type="paragraph" w:customStyle="1" w:styleId="a4">
    <w:name w:val="+ Заголовок"/>
    <w:basedOn w:val="1"/>
    <w:next w:val="a"/>
    <w:link w:val="a5"/>
    <w:qFormat/>
    <w:rsid w:val="008F596A"/>
    <w:pPr>
      <w:spacing w:before="0"/>
      <w:ind w:left="565"/>
      <w:jc w:val="center"/>
    </w:pPr>
    <w:rPr>
      <w:rFonts w:ascii="Times New Roman" w:hAnsi="Times New Roman"/>
      <w:sz w:val="24"/>
      <w:szCs w:val="24"/>
    </w:rPr>
  </w:style>
  <w:style w:type="character" w:customStyle="1" w:styleId="a5">
    <w:name w:val="+ Заголовок Знак"/>
    <w:basedOn w:val="10"/>
    <w:link w:val="a4"/>
    <w:rsid w:val="008F596A"/>
    <w:rPr>
      <w:rFonts w:ascii="Times New Roman" w:eastAsiaTheme="majorEastAsia" w:hAnsi="Times New Roman" w:cstheme="majorBidi"/>
      <w:color w:val="2F5496" w:themeColor="accent1" w:themeShade="BF"/>
      <w:sz w:val="24"/>
      <w:szCs w:val="24"/>
    </w:rPr>
  </w:style>
  <w:style w:type="table" w:customStyle="1" w:styleId="TableNormal">
    <w:name w:val="Table Normal"/>
    <w:rsid w:val="008F596A"/>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numbering" w:customStyle="1" w:styleId="List0">
    <w:name w:val="List 0"/>
    <w:basedOn w:val="12"/>
    <w:rsid w:val="008F596A"/>
    <w:pPr>
      <w:numPr>
        <w:numId w:val="8"/>
      </w:numPr>
    </w:pPr>
  </w:style>
  <w:style w:type="numbering" w:customStyle="1" w:styleId="12">
    <w:name w:val="Импортированный стиль 1"/>
    <w:rsid w:val="008F596A"/>
  </w:style>
  <w:style w:type="numbering" w:customStyle="1" w:styleId="List1">
    <w:name w:val="List 1"/>
    <w:basedOn w:val="2"/>
    <w:rsid w:val="008F596A"/>
    <w:pPr>
      <w:numPr>
        <w:numId w:val="9"/>
      </w:numPr>
    </w:pPr>
  </w:style>
  <w:style w:type="numbering" w:customStyle="1" w:styleId="2">
    <w:name w:val="Импортированный стиль 2"/>
    <w:rsid w:val="008F596A"/>
  </w:style>
  <w:style w:type="numbering" w:customStyle="1" w:styleId="21">
    <w:name w:val="Список 21"/>
    <w:basedOn w:val="2"/>
    <w:rsid w:val="008F596A"/>
    <w:pPr>
      <w:numPr>
        <w:numId w:val="10"/>
      </w:numPr>
    </w:pPr>
  </w:style>
  <w:style w:type="paragraph" w:customStyle="1" w:styleId="1232">
    <w:name w:val="123 Обычный"/>
    <w:basedOn w:val="a3"/>
    <w:link w:val="1233"/>
    <w:autoRedefine/>
    <w:qFormat/>
    <w:rsid w:val="008F596A"/>
    <w:pPr>
      <w:pBdr>
        <w:top w:val="nil"/>
        <w:left w:val="nil"/>
        <w:bottom w:val="nil"/>
        <w:right w:val="nil"/>
        <w:between w:val="nil"/>
        <w:bar w:val="nil"/>
      </w:pBdr>
      <w:ind w:firstLine="709"/>
      <w:jc w:val="both"/>
    </w:pPr>
    <w:rPr>
      <w:rFonts w:eastAsia="Calibri" w:cs="Calibri"/>
      <w:color w:val="000000"/>
      <w:sz w:val="24"/>
      <w:szCs w:val="24"/>
      <w:u w:color="000000"/>
      <w:bdr w:val="nil"/>
      <w:lang w:eastAsia="ru-RU"/>
    </w:rPr>
  </w:style>
  <w:style w:type="character" w:customStyle="1" w:styleId="1233">
    <w:name w:val="123 Обычный Знак"/>
    <w:basedOn w:val="a0"/>
    <w:link w:val="1232"/>
    <w:rsid w:val="008F596A"/>
    <w:rPr>
      <w:rFonts w:ascii="Times New Roman" w:eastAsia="Calibri" w:hAnsi="Times New Roman" w:cs="Calibri"/>
      <w:color w:val="000000"/>
      <w:sz w:val="24"/>
      <w:szCs w:val="24"/>
      <w:u w:color="000000"/>
      <w:bdr w:val="nil"/>
      <w:lang w:eastAsia="ru-RU"/>
    </w:rPr>
  </w:style>
  <w:style w:type="table" w:styleId="a6">
    <w:name w:val="Table Grid"/>
    <w:basedOn w:val="a1"/>
    <w:uiPriority w:val="39"/>
    <w:rsid w:val="008F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24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Корнеев Сергей Евгеньевич</dc:creator>
  <cp:keywords/>
  <dc:description/>
  <cp:lastModifiedBy>Брюханова Анна Александровна</cp:lastModifiedBy>
  <cp:revision>2</cp:revision>
  <dcterms:created xsi:type="dcterms:W3CDTF">2022-03-16T04:53:00Z</dcterms:created>
  <dcterms:modified xsi:type="dcterms:W3CDTF">2022-03-16T04:53:00Z</dcterms:modified>
</cp:coreProperties>
</file>